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E6798F">
        <w:rPr>
          <w:rFonts w:ascii="Times New Roman" w:hAnsi="Times New Roman"/>
          <w:bCs/>
          <w:color w:val="FF0000"/>
          <w:sz w:val="20"/>
          <w:szCs w:val="20"/>
          <w:highlight w:val="yellow"/>
        </w:rPr>
        <w:t>02</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E6798F">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6798F">
        <w:rPr>
          <w:rFonts w:ascii="Times New Roman" w:hAnsi="Times New Roman"/>
          <w:bCs/>
          <w:color w:val="FF0000"/>
          <w:sz w:val="20"/>
          <w:szCs w:val="20"/>
          <w:highlight w:val="yellow"/>
        </w:rPr>
        <w:t>114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411AA"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411AA"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r w:rsidR="00D159D0" w:rsidRPr="003411AA">
              <w:rPr>
                <w:rFonts w:ascii="Times New Roman" w:hAnsi="Times New Roman"/>
                <w:sz w:val="24"/>
                <w:szCs w:val="24"/>
              </w:rPr>
              <w:t xml:space="preserve"> </w:t>
            </w:r>
            <w:r w:rsidRPr="003411AA">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w:t>
            </w:r>
            <w:r w:rsidRPr="00354991">
              <w:rPr>
                <w:rFonts w:ascii="Times New Roman" w:hAnsi="Times New Roman"/>
                <w:sz w:val="24"/>
                <w:szCs w:val="24"/>
              </w:rPr>
              <w:lastRenderedPageBreak/>
              <w:t>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411AA"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E6798F">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E6798F">
              <w:rPr>
                <w:rFonts w:ascii="Times New Roman" w:hAnsi="Times New Roman"/>
                <w:sz w:val="24"/>
                <w:szCs w:val="24"/>
              </w:rPr>
              <w:t>629</w:t>
            </w:r>
            <w:r w:rsidR="003970CF" w:rsidRPr="00EB5272">
              <w:rPr>
                <w:rFonts w:ascii="Times New Roman" w:hAnsi="Times New Roman"/>
                <w:sz w:val="24"/>
                <w:szCs w:val="24"/>
              </w:rPr>
              <w:t> </w:t>
            </w:r>
            <w:r w:rsidR="00E6798F">
              <w:rPr>
                <w:rFonts w:ascii="Times New Roman" w:hAnsi="Times New Roman"/>
                <w:sz w:val="24"/>
                <w:szCs w:val="24"/>
              </w:rPr>
              <w:t>660</w:t>
            </w:r>
            <w:r w:rsidR="00DD1098">
              <w:rPr>
                <w:rFonts w:ascii="Times New Roman" w:hAnsi="Times New Roman"/>
                <w:sz w:val="24"/>
                <w:szCs w:val="24"/>
              </w:rPr>
              <w:t>,</w:t>
            </w:r>
            <w:r w:rsidR="00E6798F">
              <w:rPr>
                <w:rFonts w:ascii="Times New Roman" w:hAnsi="Times New Roman"/>
                <w:sz w:val="24"/>
                <w:szCs w:val="24"/>
              </w:rPr>
              <w:t>1</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2C0EF7">
              <w:rPr>
                <w:rFonts w:ascii="Times New Roman" w:hAnsi="Times New Roman"/>
                <w:sz w:val="20"/>
                <w:szCs w:val="20"/>
              </w:rPr>
              <w:t>707</w:t>
            </w:r>
            <w:r w:rsidR="003970CF" w:rsidRPr="00EB5272">
              <w:rPr>
                <w:rFonts w:ascii="Times New Roman" w:hAnsi="Times New Roman"/>
                <w:sz w:val="20"/>
                <w:szCs w:val="20"/>
              </w:rPr>
              <w:t>,</w:t>
            </w:r>
            <w:r w:rsidR="002C0EF7">
              <w:rPr>
                <w:rFonts w:ascii="Times New Roman" w:hAnsi="Times New Roman"/>
                <w:sz w:val="20"/>
                <w:szCs w:val="20"/>
              </w:rPr>
              <w:t>3</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19</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579</w:t>
            </w:r>
            <w:r w:rsidR="003970CF" w:rsidRPr="00EB5272">
              <w:rPr>
                <w:rFonts w:ascii="Times New Roman" w:hAnsi="Times New Roman"/>
                <w:sz w:val="20"/>
                <w:szCs w:val="20"/>
              </w:rPr>
              <w:t>,</w:t>
            </w:r>
            <w:r w:rsidR="002C0EF7">
              <w:rPr>
                <w:rFonts w:ascii="Times New Roman" w:hAnsi="Times New Roman"/>
                <w:sz w:val="20"/>
                <w:szCs w:val="20"/>
              </w:rPr>
              <w:t>9</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807</w:t>
            </w:r>
            <w:r w:rsidR="003970CF" w:rsidRPr="00EB5272">
              <w:rPr>
                <w:rFonts w:ascii="Times New Roman" w:hAnsi="Times New Roman"/>
                <w:sz w:val="20"/>
                <w:szCs w:val="20"/>
              </w:rPr>
              <w:t>,</w:t>
            </w:r>
            <w:r w:rsidR="002C0EF7">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0D5577">
            <w:pPr>
              <w:jc w:val="center"/>
              <w:rPr>
                <w:rFonts w:ascii="Times New Roman" w:hAnsi="Times New Roman"/>
                <w:sz w:val="20"/>
                <w:szCs w:val="20"/>
              </w:rPr>
            </w:pPr>
            <w:r w:rsidRPr="00EB5272">
              <w:rPr>
                <w:rFonts w:ascii="Times New Roman" w:hAnsi="Times New Roman"/>
                <w:sz w:val="20"/>
                <w:szCs w:val="20"/>
              </w:rPr>
              <w:t>1 </w:t>
            </w:r>
            <w:r w:rsidR="000D5577">
              <w:rPr>
                <w:rFonts w:ascii="Times New Roman" w:hAnsi="Times New Roman"/>
                <w:sz w:val="20"/>
                <w:szCs w:val="20"/>
              </w:rPr>
              <w:t>937</w:t>
            </w:r>
            <w:r w:rsidRPr="00EB5272">
              <w:rPr>
                <w:rFonts w:ascii="Times New Roman" w:hAnsi="Times New Roman"/>
                <w:sz w:val="20"/>
                <w:szCs w:val="20"/>
              </w:rPr>
              <w:t> </w:t>
            </w:r>
            <w:r w:rsidR="00DD1098">
              <w:rPr>
                <w:rFonts w:ascii="Times New Roman" w:hAnsi="Times New Roman"/>
                <w:sz w:val="20"/>
                <w:szCs w:val="20"/>
              </w:rPr>
              <w:t>8</w:t>
            </w:r>
            <w:r w:rsidR="000D5577">
              <w:rPr>
                <w:rFonts w:ascii="Times New Roman" w:hAnsi="Times New Roman"/>
                <w:sz w:val="20"/>
                <w:szCs w:val="20"/>
              </w:rPr>
              <w:t>43</w:t>
            </w:r>
            <w:r w:rsidRPr="00EB5272">
              <w:rPr>
                <w:rFonts w:ascii="Times New Roman" w:hAnsi="Times New Roman"/>
                <w:sz w:val="20"/>
                <w:szCs w:val="20"/>
              </w:rPr>
              <w:t>,</w:t>
            </w:r>
            <w:r w:rsidR="000D5577">
              <w:rPr>
                <w:rFonts w:ascii="Times New Roman" w:hAnsi="Times New Roman"/>
                <w:sz w:val="20"/>
                <w:szCs w:val="20"/>
              </w:rPr>
              <w:t>6</w:t>
            </w:r>
          </w:p>
        </w:tc>
        <w:tc>
          <w:tcPr>
            <w:tcW w:w="1701" w:type="dxa"/>
            <w:tcMar>
              <w:top w:w="0" w:type="dxa"/>
              <w:left w:w="0" w:type="dxa"/>
              <w:bottom w:w="0" w:type="dxa"/>
              <w:right w:w="0" w:type="dxa"/>
            </w:tcMar>
            <w:vAlign w:val="center"/>
          </w:tcPr>
          <w:p w:rsidR="003970CF" w:rsidRPr="00EB5272" w:rsidRDefault="00371740" w:rsidP="00E6798F">
            <w:pPr>
              <w:jc w:val="center"/>
              <w:rPr>
                <w:rFonts w:ascii="Times New Roman" w:hAnsi="Times New Roman"/>
                <w:sz w:val="20"/>
                <w:szCs w:val="20"/>
              </w:rPr>
            </w:pPr>
            <w:r>
              <w:rPr>
                <w:rFonts w:ascii="Times New Roman" w:hAnsi="Times New Roman"/>
                <w:sz w:val="20"/>
                <w:szCs w:val="20"/>
              </w:rPr>
              <w:t>1 3</w:t>
            </w:r>
            <w:r w:rsidR="00E6798F">
              <w:rPr>
                <w:rFonts w:ascii="Times New Roman" w:hAnsi="Times New Roman"/>
                <w:sz w:val="20"/>
                <w:szCs w:val="20"/>
              </w:rPr>
              <w:t>87</w:t>
            </w:r>
            <w:r w:rsidR="003970CF" w:rsidRPr="00EB5272">
              <w:rPr>
                <w:rFonts w:ascii="Times New Roman" w:hAnsi="Times New Roman"/>
                <w:sz w:val="20"/>
                <w:szCs w:val="20"/>
              </w:rPr>
              <w:t> </w:t>
            </w:r>
            <w:r w:rsidR="00E6798F">
              <w:rPr>
                <w:rFonts w:ascii="Times New Roman" w:hAnsi="Times New Roman"/>
                <w:sz w:val="20"/>
                <w:szCs w:val="20"/>
              </w:rPr>
              <w:t>563</w:t>
            </w:r>
            <w:r w:rsidR="003970CF" w:rsidRPr="00EB5272">
              <w:rPr>
                <w:rFonts w:ascii="Times New Roman" w:hAnsi="Times New Roman"/>
                <w:sz w:val="20"/>
                <w:szCs w:val="20"/>
              </w:rPr>
              <w:t>,</w:t>
            </w:r>
            <w:r w:rsidR="00E6798F">
              <w:rPr>
                <w:rFonts w:ascii="Times New Roman" w:hAnsi="Times New Roman"/>
                <w:sz w:val="20"/>
                <w:szCs w:val="20"/>
              </w:rPr>
              <w:t>2</w:t>
            </w:r>
          </w:p>
        </w:tc>
        <w:tc>
          <w:tcPr>
            <w:tcW w:w="1418" w:type="dxa"/>
            <w:vAlign w:val="center"/>
          </w:tcPr>
          <w:p w:rsidR="003970CF" w:rsidRPr="00EB5272" w:rsidRDefault="000D5577"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371740" w:rsidP="00E6798F">
            <w:pPr>
              <w:jc w:val="center"/>
              <w:rPr>
                <w:rFonts w:ascii="Times New Roman" w:hAnsi="Times New Roman"/>
                <w:sz w:val="20"/>
                <w:szCs w:val="20"/>
              </w:rPr>
            </w:pPr>
            <w:r>
              <w:rPr>
                <w:rFonts w:ascii="Times New Roman" w:hAnsi="Times New Roman"/>
                <w:sz w:val="20"/>
                <w:szCs w:val="20"/>
              </w:rPr>
              <w:t>3</w:t>
            </w:r>
            <w:r w:rsidR="003970CF" w:rsidRPr="00EB5272">
              <w:rPr>
                <w:rFonts w:ascii="Times New Roman" w:hAnsi="Times New Roman"/>
                <w:sz w:val="20"/>
                <w:szCs w:val="20"/>
              </w:rPr>
              <w:t> </w:t>
            </w:r>
            <w:r>
              <w:rPr>
                <w:rFonts w:ascii="Times New Roman" w:hAnsi="Times New Roman"/>
                <w:sz w:val="20"/>
                <w:szCs w:val="20"/>
              </w:rPr>
              <w:t>3</w:t>
            </w:r>
            <w:r w:rsidR="00E6798F">
              <w:rPr>
                <w:rFonts w:ascii="Times New Roman" w:hAnsi="Times New Roman"/>
                <w:sz w:val="20"/>
                <w:szCs w:val="20"/>
              </w:rPr>
              <w:t>70</w:t>
            </w:r>
            <w:r w:rsidR="003970CF" w:rsidRPr="00EB5272">
              <w:rPr>
                <w:rFonts w:ascii="Times New Roman" w:hAnsi="Times New Roman"/>
                <w:sz w:val="20"/>
                <w:szCs w:val="20"/>
              </w:rPr>
              <w:t> </w:t>
            </w:r>
            <w:r w:rsidR="00E6798F">
              <w:rPr>
                <w:rFonts w:ascii="Times New Roman" w:hAnsi="Times New Roman"/>
                <w:sz w:val="20"/>
                <w:szCs w:val="20"/>
              </w:rPr>
              <w:t>159</w:t>
            </w:r>
            <w:r w:rsidR="003970CF" w:rsidRPr="00EB5272">
              <w:rPr>
                <w:rFonts w:ascii="Times New Roman" w:hAnsi="Times New Roman"/>
                <w:sz w:val="20"/>
                <w:szCs w:val="20"/>
              </w:rPr>
              <w:t>,</w:t>
            </w:r>
            <w:r w:rsidR="00E6798F">
              <w:rPr>
                <w:rFonts w:ascii="Times New Roman" w:hAnsi="Times New Roman"/>
                <w:sz w:val="20"/>
                <w:szCs w:val="20"/>
              </w:rPr>
              <w:t>3</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844</w:t>
            </w:r>
            <w:r w:rsidRPr="003970CF">
              <w:rPr>
                <w:rFonts w:ascii="Times New Roman" w:hAnsi="Times New Roman"/>
                <w:sz w:val="20"/>
                <w:szCs w:val="20"/>
              </w:rPr>
              <w:t>,</w:t>
            </w:r>
            <w:r w:rsidR="000D5577">
              <w:rPr>
                <w:rFonts w:ascii="Times New Roman" w:hAnsi="Times New Roman"/>
                <w:sz w:val="20"/>
                <w:szCs w:val="20"/>
              </w:rPr>
              <w:t>4</w:t>
            </w:r>
          </w:p>
        </w:tc>
        <w:tc>
          <w:tcPr>
            <w:tcW w:w="1701" w:type="dxa"/>
            <w:tcMar>
              <w:top w:w="0" w:type="dxa"/>
              <w:left w:w="0" w:type="dxa"/>
              <w:bottom w:w="0" w:type="dxa"/>
              <w:right w:w="0" w:type="dxa"/>
            </w:tcMar>
          </w:tcPr>
          <w:p w:rsidR="003970CF" w:rsidRPr="003970CF" w:rsidRDefault="000D5577" w:rsidP="000D5577">
            <w:pPr>
              <w:jc w:val="center"/>
              <w:rPr>
                <w:rFonts w:ascii="Times New Roman" w:hAnsi="Times New Roman"/>
                <w:sz w:val="20"/>
                <w:szCs w:val="20"/>
              </w:rPr>
            </w:pPr>
            <w:r>
              <w:rPr>
                <w:rFonts w:ascii="Times New Roman" w:hAnsi="Times New Roman"/>
                <w:sz w:val="20"/>
                <w:szCs w:val="20"/>
              </w:rPr>
              <w:t>66</w:t>
            </w:r>
            <w:r w:rsidR="003970CF" w:rsidRPr="003970CF">
              <w:rPr>
                <w:rFonts w:ascii="Times New Roman" w:hAnsi="Times New Roman"/>
                <w:sz w:val="20"/>
                <w:szCs w:val="20"/>
              </w:rPr>
              <w:t>9 </w:t>
            </w:r>
            <w:r>
              <w:rPr>
                <w:rFonts w:ascii="Times New Roman" w:hAnsi="Times New Roman"/>
                <w:sz w:val="20"/>
                <w:szCs w:val="20"/>
              </w:rPr>
              <w:t>427</w:t>
            </w:r>
            <w:r w:rsidR="003970CF"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0D5577"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0D5577" w:rsidP="000D5577">
            <w:pPr>
              <w:jc w:val="center"/>
              <w:rPr>
                <w:rFonts w:ascii="Times New Roman" w:hAnsi="Times New Roman"/>
                <w:sz w:val="20"/>
                <w:szCs w:val="20"/>
              </w:rPr>
            </w:pPr>
            <w:r>
              <w:rPr>
                <w:rFonts w:ascii="Times New Roman" w:hAnsi="Times New Roman"/>
                <w:sz w:val="20"/>
                <w:szCs w:val="20"/>
              </w:rPr>
              <w:t>1</w:t>
            </w:r>
            <w:r w:rsidR="003970CF" w:rsidRPr="003970CF">
              <w:rPr>
                <w:rFonts w:ascii="Times New Roman" w:hAnsi="Times New Roman"/>
                <w:sz w:val="20"/>
                <w:szCs w:val="20"/>
              </w:rPr>
              <w:t> </w:t>
            </w:r>
            <w:r>
              <w:rPr>
                <w:rFonts w:ascii="Times New Roman" w:hAnsi="Times New Roman"/>
                <w:sz w:val="20"/>
                <w:szCs w:val="20"/>
              </w:rPr>
              <w:t>957</w:t>
            </w:r>
            <w:r w:rsidR="003970CF" w:rsidRPr="003970CF">
              <w:rPr>
                <w:rFonts w:ascii="Times New Roman" w:hAnsi="Times New Roman"/>
                <w:sz w:val="20"/>
                <w:szCs w:val="20"/>
              </w:rPr>
              <w:t> </w:t>
            </w:r>
            <w:r>
              <w:rPr>
                <w:rFonts w:ascii="Times New Roman" w:hAnsi="Times New Roman"/>
                <w:sz w:val="20"/>
                <w:szCs w:val="20"/>
              </w:rPr>
              <w:t>023</w:t>
            </w:r>
            <w:r w:rsidR="003970CF" w:rsidRPr="003970CF">
              <w:rPr>
                <w:rFonts w:ascii="Times New Roman" w:hAnsi="Times New Roman"/>
                <w:sz w:val="20"/>
                <w:szCs w:val="20"/>
              </w:rPr>
              <w:t>,</w:t>
            </w:r>
            <w:r>
              <w:rPr>
                <w:rFonts w:ascii="Times New Roman" w:hAnsi="Times New Roman"/>
                <w:sz w:val="20"/>
                <w:szCs w:val="20"/>
              </w:rPr>
              <w:t>9</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41</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0D5577">
              <w:rPr>
                <w:rFonts w:ascii="Times New Roman" w:hAnsi="Times New Roman"/>
                <w:sz w:val="20"/>
                <w:szCs w:val="20"/>
              </w:rPr>
              <w:t>6</w:t>
            </w:r>
            <w:r w:rsidRPr="003970CF">
              <w:rPr>
                <w:rFonts w:ascii="Times New Roman" w:hAnsi="Times New Roman"/>
                <w:sz w:val="20"/>
                <w:szCs w:val="20"/>
              </w:rPr>
              <w:t> </w:t>
            </w:r>
            <w:r w:rsidR="000D5577">
              <w:rPr>
                <w:rFonts w:ascii="Times New Roman" w:hAnsi="Times New Roman"/>
                <w:sz w:val="20"/>
                <w:szCs w:val="20"/>
              </w:rPr>
              <w:t>590</w:t>
            </w:r>
            <w:r w:rsidRPr="003970CF">
              <w:rPr>
                <w:rFonts w:ascii="Times New Roman" w:hAnsi="Times New Roman"/>
                <w:sz w:val="20"/>
                <w:szCs w:val="20"/>
              </w:rPr>
              <w:t>,</w:t>
            </w:r>
            <w:r w:rsidR="000D5577">
              <w:rPr>
                <w:rFonts w:ascii="Times New Roman" w:hAnsi="Times New Roman"/>
                <w:sz w:val="20"/>
                <w:szCs w:val="20"/>
              </w:rPr>
              <w:t>3</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16</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0D5577">
            <w:pPr>
              <w:jc w:val="center"/>
              <w:rPr>
                <w:rFonts w:ascii="Times New Roman" w:hAnsi="Times New Roman"/>
                <w:sz w:val="20"/>
                <w:szCs w:val="20"/>
              </w:rPr>
            </w:pPr>
            <w:r>
              <w:rPr>
                <w:rFonts w:ascii="Times New Roman" w:hAnsi="Times New Roman"/>
                <w:sz w:val="20"/>
                <w:szCs w:val="20"/>
              </w:rPr>
              <w:t>1 95</w:t>
            </w:r>
            <w:r w:rsidR="000D5577">
              <w:rPr>
                <w:rFonts w:ascii="Times New Roman" w:hAnsi="Times New Roman"/>
                <w:sz w:val="20"/>
                <w:szCs w:val="20"/>
              </w:rPr>
              <w:t>6</w:t>
            </w:r>
            <w:r w:rsidR="003970CF" w:rsidRPr="003970CF">
              <w:rPr>
                <w:rFonts w:ascii="Times New Roman" w:hAnsi="Times New Roman"/>
                <w:sz w:val="20"/>
                <w:szCs w:val="20"/>
              </w:rPr>
              <w:t> </w:t>
            </w:r>
            <w:r w:rsidR="000D5577">
              <w:rPr>
                <w:rFonts w:ascii="Times New Roman" w:hAnsi="Times New Roman"/>
                <w:sz w:val="20"/>
                <w:szCs w:val="20"/>
              </w:rPr>
              <w:t>340</w:t>
            </w:r>
            <w:r w:rsidR="003970CF" w:rsidRPr="003970CF">
              <w:rPr>
                <w:rFonts w:ascii="Times New Roman" w:hAnsi="Times New Roman"/>
                <w:sz w:val="20"/>
                <w:szCs w:val="20"/>
              </w:rPr>
              <w:t>,</w:t>
            </w:r>
            <w:r w:rsidR="000D5577">
              <w:rPr>
                <w:rFonts w:ascii="Times New Roman" w:hAnsi="Times New Roman"/>
                <w:sz w:val="20"/>
                <w:szCs w:val="20"/>
              </w:rPr>
              <w:t>3</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0D5577">
            <w:pPr>
              <w:jc w:val="center"/>
              <w:rPr>
                <w:rFonts w:ascii="Times New Roman" w:hAnsi="Times New Roman"/>
                <w:sz w:val="20"/>
                <w:szCs w:val="20"/>
              </w:rPr>
            </w:pPr>
            <w:r w:rsidRPr="00EB5272">
              <w:rPr>
                <w:rFonts w:ascii="Times New Roman" w:hAnsi="Times New Roman"/>
                <w:sz w:val="20"/>
                <w:szCs w:val="20"/>
              </w:rPr>
              <w:t>9 </w:t>
            </w:r>
            <w:r w:rsidR="000D5577">
              <w:rPr>
                <w:rFonts w:ascii="Times New Roman" w:hAnsi="Times New Roman"/>
                <w:sz w:val="20"/>
                <w:szCs w:val="20"/>
              </w:rPr>
              <w:t>914</w:t>
            </w:r>
            <w:r w:rsidRPr="00EB5272">
              <w:rPr>
                <w:rFonts w:ascii="Times New Roman" w:hAnsi="Times New Roman"/>
                <w:sz w:val="20"/>
                <w:szCs w:val="20"/>
              </w:rPr>
              <w:t> </w:t>
            </w:r>
            <w:r w:rsidR="000D5577">
              <w:rPr>
                <w:rFonts w:ascii="Times New Roman" w:hAnsi="Times New Roman"/>
                <w:sz w:val="20"/>
                <w:szCs w:val="20"/>
              </w:rPr>
              <w:t>998</w:t>
            </w:r>
            <w:r w:rsidRPr="00EB5272">
              <w:rPr>
                <w:rFonts w:ascii="Times New Roman" w:hAnsi="Times New Roman"/>
                <w:sz w:val="20"/>
                <w:szCs w:val="20"/>
              </w:rPr>
              <w:t>,</w:t>
            </w:r>
            <w:r w:rsidR="000D5577">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0D5577" w:rsidP="00E6798F">
            <w:pPr>
              <w:jc w:val="center"/>
              <w:rPr>
                <w:rFonts w:ascii="Times New Roman" w:hAnsi="Times New Roman"/>
                <w:sz w:val="20"/>
                <w:szCs w:val="20"/>
              </w:rPr>
            </w:pPr>
            <w:r>
              <w:rPr>
                <w:rFonts w:ascii="Times New Roman" w:hAnsi="Times New Roman"/>
                <w:sz w:val="20"/>
                <w:szCs w:val="20"/>
              </w:rPr>
              <w:t>6</w:t>
            </w:r>
            <w:r w:rsidR="003970CF" w:rsidRPr="00EB5272">
              <w:rPr>
                <w:rFonts w:ascii="Times New Roman" w:hAnsi="Times New Roman"/>
                <w:sz w:val="20"/>
                <w:szCs w:val="20"/>
              </w:rPr>
              <w:t> </w:t>
            </w:r>
            <w:r w:rsidR="00371740">
              <w:rPr>
                <w:rFonts w:ascii="Times New Roman" w:hAnsi="Times New Roman"/>
                <w:sz w:val="20"/>
                <w:szCs w:val="20"/>
              </w:rPr>
              <w:t>9</w:t>
            </w:r>
            <w:r w:rsidR="00E6798F">
              <w:rPr>
                <w:rFonts w:ascii="Times New Roman" w:hAnsi="Times New Roman"/>
                <w:sz w:val="20"/>
                <w:szCs w:val="20"/>
              </w:rPr>
              <w:t>72</w:t>
            </w:r>
            <w:r w:rsidR="003970CF" w:rsidRPr="00EB5272">
              <w:rPr>
                <w:rFonts w:ascii="Times New Roman" w:hAnsi="Times New Roman"/>
                <w:sz w:val="20"/>
                <w:szCs w:val="20"/>
              </w:rPr>
              <w:t> </w:t>
            </w:r>
            <w:r w:rsidR="00E6798F">
              <w:rPr>
                <w:rFonts w:ascii="Times New Roman" w:hAnsi="Times New Roman"/>
                <w:sz w:val="20"/>
                <w:szCs w:val="20"/>
              </w:rPr>
              <w:t>952</w:t>
            </w:r>
            <w:r w:rsidR="003970CF" w:rsidRPr="00EB5272">
              <w:rPr>
                <w:rFonts w:ascii="Times New Roman" w:hAnsi="Times New Roman"/>
                <w:sz w:val="20"/>
                <w:szCs w:val="20"/>
              </w:rPr>
              <w:t>,</w:t>
            </w:r>
            <w:r w:rsidR="00E6798F">
              <w:rPr>
                <w:rFonts w:ascii="Times New Roman" w:hAnsi="Times New Roman"/>
                <w:sz w:val="20"/>
                <w:szCs w:val="20"/>
              </w:rPr>
              <w:t>0</w:t>
            </w:r>
          </w:p>
        </w:tc>
        <w:tc>
          <w:tcPr>
            <w:tcW w:w="1418" w:type="dxa"/>
            <w:vAlign w:val="center"/>
          </w:tcPr>
          <w:p w:rsidR="003970CF" w:rsidRPr="00EB5272" w:rsidRDefault="000D5577" w:rsidP="000D5577">
            <w:pPr>
              <w:jc w:val="center"/>
              <w:rPr>
                <w:rFonts w:ascii="Times New Roman" w:hAnsi="Times New Roman"/>
                <w:sz w:val="20"/>
                <w:szCs w:val="20"/>
              </w:rPr>
            </w:pPr>
            <w:r>
              <w:rPr>
                <w:rFonts w:ascii="Times New Roman" w:hAnsi="Times New Roman"/>
                <w:sz w:val="20"/>
                <w:szCs w:val="20"/>
              </w:rPr>
              <w:t>488</w:t>
            </w:r>
            <w:r w:rsidR="003970CF" w:rsidRPr="00EB5272">
              <w:rPr>
                <w:rFonts w:ascii="Times New Roman" w:hAnsi="Times New Roman"/>
                <w:sz w:val="20"/>
                <w:szCs w:val="20"/>
              </w:rPr>
              <w:t> </w:t>
            </w:r>
            <w:r>
              <w:rPr>
                <w:rFonts w:ascii="Times New Roman" w:hAnsi="Times New Roman"/>
                <w:sz w:val="20"/>
                <w:szCs w:val="20"/>
              </w:rPr>
              <w:t>843</w:t>
            </w:r>
            <w:r w:rsidR="003970CF" w:rsidRPr="00EB5272">
              <w:rPr>
                <w:rFonts w:ascii="Times New Roman" w:hAnsi="Times New Roman"/>
                <w:sz w:val="20"/>
                <w:szCs w:val="20"/>
              </w:rPr>
              <w:t>,</w:t>
            </w:r>
            <w:r>
              <w:rPr>
                <w:rFonts w:ascii="Times New Roman" w:hAnsi="Times New Roman"/>
                <w:sz w:val="20"/>
                <w:szCs w:val="20"/>
              </w:rPr>
              <w:t>2</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E6798F">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E6798F">
              <w:rPr>
                <w:rFonts w:ascii="Times New Roman" w:hAnsi="Times New Roman"/>
                <w:sz w:val="20"/>
                <w:szCs w:val="20"/>
              </w:rPr>
              <w:t>629</w:t>
            </w:r>
            <w:r w:rsidRPr="00EB5272">
              <w:rPr>
                <w:rFonts w:ascii="Times New Roman" w:hAnsi="Times New Roman"/>
                <w:sz w:val="20"/>
                <w:szCs w:val="20"/>
              </w:rPr>
              <w:t> </w:t>
            </w:r>
            <w:r w:rsidR="00E6798F">
              <w:rPr>
                <w:rFonts w:ascii="Times New Roman" w:hAnsi="Times New Roman"/>
                <w:sz w:val="20"/>
                <w:szCs w:val="20"/>
              </w:rPr>
              <w:t>660</w:t>
            </w:r>
            <w:r w:rsidRPr="00EB5272">
              <w:rPr>
                <w:rFonts w:ascii="Times New Roman" w:hAnsi="Times New Roman"/>
                <w:sz w:val="20"/>
                <w:szCs w:val="20"/>
              </w:rPr>
              <w:t>,</w:t>
            </w:r>
            <w:r w:rsidR="00E6798F">
              <w:rPr>
                <w:rFonts w:ascii="Times New Roman" w:hAnsi="Times New Roman"/>
                <w:sz w:val="20"/>
                <w:szCs w:val="20"/>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w:t>
      </w:r>
      <w:r w:rsidRPr="00993AD8">
        <w:rPr>
          <w:rFonts w:ascii="Times New Roman" w:eastAsia="Times New Roman" w:hAnsi="Times New Roman"/>
          <w:sz w:val="28"/>
          <w:szCs w:val="28"/>
          <w:lang w:eastAsia="ru-RU" w:bidi="ru-RU"/>
        </w:rPr>
        <w:lastRenderedPageBreak/>
        <w:t xml:space="preserve">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 Удельный вес общей площади незаселенных жилых помещений и неиспользуемых нежилых помещений, </w:t>
            </w:r>
            <w:r w:rsidRPr="00304668">
              <w:rPr>
                <w:rFonts w:ascii="Times New Roman" w:eastAsia="Times New Roman" w:hAnsi="Times New Roman"/>
                <w:sz w:val="24"/>
                <w:szCs w:val="24"/>
                <w:lang w:eastAsia="ru-RU"/>
              </w:rPr>
              <w:lastRenderedPageBreak/>
              <w:t>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содержание</w:t>
            </w:r>
            <w:r w:rsidR="00251FC1" w:rsidRPr="00304668">
              <w:rPr>
                <w:rFonts w:ascii="Times New Roman" w:eastAsia="Times New Roman" w:hAnsi="Times New Roman"/>
                <w:sz w:val="24"/>
                <w:szCs w:val="24"/>
                <w:lang w:eastAsia="ru-RU"/>
              </w:rPr>
              <w:t xml:space="preserve">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w:t>
            </w:r>
            <w:r w:rsidRPr="00304668">
              <w:rPr>
                <w:rFonts w:ascii="Times New Roman" w:eastAsia="Times New Roman" w:hAnsi="Times New Roman"/>
                <w:sz w:val="24"/>
                <w:szCs w:val="24"/>
                <w:lang w:eastAsia="ru-RU"/>
              </w:rPr>
              <w:lastRenderedPageBreak/>
              <w:t>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49. Количество многоквартирных домов, в которых </w:t>
            </w:r>
            <w:r w:rsidRPr="00304668">
              <w:rPr>
                <w:rFonts w:ascii="Times New Roman" w:hAnsi="Times New Roman"/>
                <w:sz w:val="24"/>
                <w:szCs w:val="24"/>
              </w:rPr>
              <w:lastRenderedPageBreak/>
              <w:t>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C57C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3C57CA">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876</w:t>
            </w:r>
            <w:r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295874">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295874">
              <w:rPr>
                <w:rFonts w:ascii="Times New Roman" w:eastAsia="Times New Roman" w:hAnsi="Times New Roman"/>
                <w:sz w:val="24"/>
                <w:szCs w:val="24"/>
                <w:lang w:eastAsia="ru-RU"/>
              </w:rPr>
              <w:t>574</w:t>
            </w:r>
            <w:r w:rsidRPr="00304668">
              <w:rPr>
                <w:rFonts w:ascii="Times New Roman" w:eastAsia="Times New Roman" w:hAnsi="Times New Roman"/>
                <w:sz w:val="24"/>
                <w:szCs w:val="24"/>
                <w:lang w:eastAsia="ru-RU"/>
              </w:rPr>
              <w:t> </w:t>
            </w:r>
            <w:r w:rsidR="00295874">
              <w:rPr>
                <w:rFonts w:ascii="Times New Roman" w:eastAsia="Times New Roman" w:hAnsi="Times New Roman"/>
                <w:sz w:val="24"/>
                <w:szCs w:val="24"/>
                <w:lang w:eastAsia="ru-RU"/>
              </w:rPr>
              <w:t>982</w:t>
            </w:r>
            <w:r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C57C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725F0F">
              <w:rPr>
                <w:rFonts w:ascii="Times New Roman" w:eastAsia="Times New Roman" w:hAnsi="Times New Roman"/>
                <w:sz w:val="24"/>
                <w:szCs w:val="24"/>
                <w:lang w:eastAsia="ru-RU"/>
              </w:rPr>
              <w:t>8</w:t>
            </w:r>
            <w:r w:rsidR="003C57CA">
              <w:rPr>
                <w:rFonts w:ascii="Times New Roman" w:eastAsia="Times New Roman" w:hAnsi="Times New Roman"/>
                <w:sz w:val="24"/>
                <w:szCs w:val="24"/>
                <w:lang w:eastAsia="ru-RU"/>
              </w:rPr>
              <w:t>63</w:t>
            </w:r>
            <w:r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477</w:t>
            </w:r>
            <w:r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8C03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224</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223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326</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652</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C57C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3C57CA">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876</w:t>
            </w:r>
            <w:r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w:t>
      </w:r>
      <w:r w:rsidRPr="00AA6EFD">
        <w:rPr>
          <w:rFonts w:ascii="Times New Roman" w:hAnsi="Times New Roman"/>
          <w:sz w:val="28"/>
          <w:szCs w:val="28"/>
        </w:rPr>
        <w:lastRenderedPageBreak/>
        <w:t>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C2F89">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w:t>
            </w:r>
            <w:r w:rsidR="00FC2F89">
              <w:rPr>
                <w:rFonts w:ascii="Times New Roman" w:hAnsi="Times New Roman"/>
                <w:sz w:val="24"/>
                <w:szCs w:val="24"/>
              </w:rPr>
              <w:t>248</w:t>
            </w:r>
            <w:r w:rsidRPr="00304668">
              <w:rPr>
                <w:rFonts w:ascii="Times New Roman" w:hAnsi="Times New Roman"/>
                <w:sz w:val="24"/>
                <w:szCs w:val="24"/>
              </w:rPr>
              <w:t> </w:t>
            </w:r>
            <w:r w:rsidR="00FC2F89">
              <w:rPr>
                <w:rFonts w:ascii="Times New Roman" w:hAnsi="Times New Roman"/>
                <w:sz w:val="24"/>
                <w:szCs w:val="24"/>
              </w:rPr>
              <w:t>630</w:t>
            </w:r>
            <w:r w:rsidRPr="00304668">
              <w:rPr>
                <w:rFonts w:ascii="Times New Roman" w:hAnsi="Times New Roman"/>
                <w:sz w:val="24"/>
                <w:szCs w:val="24"/>
              </w:rPr>
              <w:t>,</w:t>
            </w:r>
            <w:r w:rsidR="00FC2F89">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FC2F89">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w:t>
            </w:r>
            <w:r w:rsidR="00FC2F89">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FC2F89" w:rsidP="00FC2F89">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713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FC2F89"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9762C0"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FC2F89"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9762C0"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9762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9762C0">
              <w:rPr>
                <w:rFonts w:ascii="Times New Roman" w:hAnsi="Times New Roman"/>
                <w:sz w:val="24"/>
                <w:szCs w:val="24"/>
              </w:rPr>
              <w:t>091</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686</w:t>
            </w:r>
            <w:r w:rsidR="00304668" w:rsidRPr="00304668">
              <w:rPr>
                <w:rFonts w:ascii="Times New Roman" w:hAnsi="Times New Roman"/>
                <w:sz w:val="24"/>
                <w:szCs w:val="24"/>
              </w:rPr>
              <w:t> </w:t>
            </w:r>
            <w:r>
              <w:rPr>
                <w:rFonts w:ascii="Times New Roman" w:hAnsi="Times New Roman"/>
                <w:sz w:val="24"/>
                <w:szCs w:val="24"/>
              </w:rPr>
              <w:t>915</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431</w:t>
            </w:r>
            <w:r w:rsidR="00304668" w:rsidRPr="00304668">
              <w:rPr>
                <w:rFonts w:ascii="Times New Roman" w:hAnsi="Times New Roman"/>
                <w:sz w:val="24"/>
                <w:szCs w:val="24"/>
              </w:rPr>
              <w:t> </w:t>
            </w:r>
            <w:r>
              <w:rPr>
                <w:rFonts w:ascii="Times New Roman" w:hAnsi="Times New Roman"/>
                <w:sz w:val="24"/>
                <w:szCs w:val="24"/>
              </w:rPr>
              <w:t>623</w:t>
            </w:r>
            <w:r w:rsidR="00304668" w:rsidRPr="00304668">
              <w:rPr>
                <w:rFonts w:ascii="Times New Roman" w:hAnsi="Times New Roman"/>
                <w:sz w:val="24"/>
                <w:szCs w:val="24"/>
              </w:rPr>
              <w:t>,</w:t>
            </w:r>
            <w:r>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9762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w:t>
            </w:r>
            <w:r w:rsidR="009762C0">
              <w:rPr>
                <w:rFonts w:ascii="Times New Roman" w:hAnsi="Times New Roman"/>
                <w:sz w:val="24"/>
                <w:szCs w:val="24"/>
              </w:rPr>
              <w:t>248</w:t>
            </w:r>
            <w:r w:rsidR="00DD6B60">
              <w:rPr>
                <w:rFonts w:ascii="Times New Roman" w:hAnsi="Times New Roman"/>
                <w:sz w:val="24"/>
                <w:szCs w:val="24"/>
              </w:rPr>
              <w:t> </w:t>
            </w:r>
            <w:r w:rsidR="009762C0">
              <w:rPr>
                <w:rFonts w:ascii="Times New Roman" w:hAnsi="Times New Roman"/>
                <w:sz w:val="24"/>
                <w:szCs w:val="24"/>
              </w:rPr>
              <w:t>630</w:t>
            </w:r>
            <w:r w:rsidRPr="00304668">
              <w:rPr>
                <w:rFonts w:ascii="Times New Roman" w:hAnsi="Times New Roman"/>
                <w:sz w:val="24"/>
                <w:szCs w:val="24"/>
              </w:rPr>
              <w:t>,</w:t>
            </w:r>
            <w:r w:rsidR="009762C0">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3474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 xml:space="preserve">1 </w:t>
            </w:r>
            <w:r w:rsidR="0063474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 xml:space="preserve"> </w:t>
            </w:r>
            <w:r w:rsidR="0063474E">
              <w:rPr>
                <w:rFonts w:ascii="Times New Roman" w:eastAsia="Times New Roman" w:hAnsi="Times New Roman"/>
                <w:sz w:val="24"/>
                <w:szCs w:val="24"/>
                <w:lang w:eastAsia="ru-RU"/>
              </w:rPr>
              <w:t>550</w:t>
            </w:r>
            <w:r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276"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354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168</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63474E">
            <w:pPr>
              <w:spacing w:after="0" w:line="240" w:lineRule="auto"/>
              <w:jc w:val="center"/>
              <w:rPr>
                <w:rFonts w:ascii="Times New Roman" w:hAnsi="Times New Roman"/>
                <w:sz w:val="24"/>
                <w:szCs w:val="24"/>
              </w:rPr>
            </w:pPr>
            <w:r w:rsidRPr="00304668">
              <w:rPr>
                <w:rFonts w:ascii="Times New Roman" w:hAnsi="Times New Roman"/>
                <w:sz w:val="24"/>
                <w:szCs w:val="24"/>
              </w:rPr>
              <w:t>1</w:t>
            </w:r>
            <w:r w:rsidR="0063474E">
              <w:rPr>
                <w:rFonts w:ascii="Times New Roman" w:hAnsi="Times New Roman"/>
                <w:sz w:val="24"/>
                <w:szCs w:val="24"/>
              </w:rPr>
              <w:t>92</w:t>
            </w:r>
            <w:r w:rsidR="00953677">
              <w:rPr>
                <w:rFonts w:ascii="Times New Roman" w:hAnsi="Times New Roman"/>
                <w:sz w:val="24"/>
                <w:szCs w:val="24"/>
              </w:rPr>
              <w:t xml:space="preserve"> </w:t>
            </w:r>
            <w:r w:rsidR="0063474E">
              <w:rPr>
                <w:rFonts w:ascii="Times New Roman" w:hAnsi="Times New Roman"/>
                <w:sz w:val="24"/>
                <w:szCs w:val="24"/>
              </w:rPr>
              <w:t>423</w:t>
            </w:r>
            <w:r w:rsidRPr="00304668">
              <w:rPr>
                <w:rFonts w:ascii="Times New Roman" w:hAnsi="Times New Roman"/>
                <w:sz w:val="24"/>
                <w:szCs w:val="24"/>
              </w:rPr>
              <w:t>,</w:t>
            </w:r>
            <w:r w:rsidR="0063474E">
              <w:rPr>
                <w:rFonts w:ascii="Times New Roman" w:hAnsi="Times New Roman"/>
                <w:sz w:val="24"/>
                <w:szCs w:val="24"/>
              </w:rPr>
              <w:t>9</w:t>
            </w:r>
          </w:p>
        </w:tc>
        <w:tc>
          <w:tcPr>
            <w:tcW w:w="1276" w:type="dxa"/>
            <w:shd w:val="clear" w:color="auto" w:fill="auto"/>
          </w:tcPr>
          <w:p w:rsidR="00304668" w:rsidRPr="00304668" w:rsidRDefault="002C1A95"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w:t>
            </w:r>
            <w:r w:rsidR="0063474E">
              <w:rPr>
                <w:rFonts w:ascii="Times New Roman" w:eastAsia="Times New Roman" w:hAnsi="Times New Roman"/>
                <w:sz w:val="24"/>
                <w:szCs w:val="24"/>
                <w:lang w:eastAsia="ru-RU"/>
              </w:rPr>
              <w:t>41</w:t>
            </w:r>
            <w:r w:rsidR="00304668" w:rsidRPr="00304668">
              <w:rPr>
                <w:rFonts w:ascii="Times New Roman" w:eastAsia="Times New Roman" w:hAnsi="Times New Roman"/>
                <w:sz w:val="24"/>
                <w:szCs w:val="24"/>
                <w:lang w:eastAsia="ru-RU"/>
              </w:rPr>
              <w:t> </w:t>
            </w:r>
            <w:r w:rsidR="0063474E">
              <w:rPr>
                <w:rFonts w:ascii="Times New Roman" w:eastAsia="Times New Roman" w:hAnsi="Times New Roman"/>
                <w:sz w:val="24"/>
                <w:szCs w:val="24"/>
                <w:lang w:eastAsia="ru-RU"/>
              </w:rPr>
              <w:t>648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63474E">
            <w:pPr>
              <w:spacing w:after="0" w:line="240" w:lineRule="auto"/>
              <w:jc w:val="center"/>
              <w:rPr>
                <w:rFonts w:ascii="Times New Roman" w:hAnsi="Times New Roman"/>
                <w:sz w:val="24"/>
                <w:szCs w:val="24"/>
              </w:rPr>
            </w:pPr>
            <w:r>
              <w:rPr>
                <w:rFonts w:ascii="Times New Roman" w:hAnsi="Times New Roman"/>
                <w:sz w:val="24"/>
                <w:szCs w:val="24"/>
              </w:rPr>
              <w:t xml:space="preserve">1 </w:t>
            </w:r>
            <w:r w:rsidR="0063474E">
              <w:rPr>
                <w:rFonts w:ascii="Times New Roman" w:hAnsi="Times New Roman"/>
                <w:sz w:val="24"/>
                <w:szCs w:val="24"/>
              </w:rPr>
              <w:t>167</w:t>
            </w:r>
            <w:r w:rsidR="00304668" w:rsidRPr="00304668">
              <w:rPr>
                <w:rFonts w:ascii="Times New Roman" w:hAnsi="Times New Roman"/>
                <w:sz w:val="24"/>
                <w:szCs w:val="24"/>
              </w:rPr>
              <w:t> </w:t>
            </w:r>
            <w:r w:rsidR="0063474E">
              <w:rPr>
                <w:rFonts w:ascii="Times New Roman" w:hAnsi="Times New Roman"/>
                <w:sz w:val="24"/>
                <w:szCs w:val="24"/>
              </w:rPr>
              <w:t>550</w:t>
            </w:r>
            <w:r w:rsidR="00304668" w:rsidRPr="00304668">
              <w:rPr>
                <w:rFonts w:ascii="Times New Roman" w:hAnsi="Times New Roman"/>
                <w:sz w:val="24"/>
                <w:szCs w:val="24"/>
              </w:rPr>
              <w:t>,</w:t>
            </w:r>
            <w:r w:rsidR="0063474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w:t>
      </w:r>
      <w:r w:rsidRPr="00304668">
        <w:rPr>
          <w:rFonts w:ascii="Times New Roman" w:hAnsi="Times New Roman"/>
          <w:sz w:val="28"/>
          <w:szCs w:val="28"/>
          <w:lang w:eastAsia="ru-RU"/>
        </w:rPr>
        <w:lastRenderedPageBreak/>
        <w:t xml:space="preserve">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8</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FB7F9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w:t>
                  </w:r>
                  <w:r w:rsidR="00FB7F9D">
                    <w:rPr>
                      <w:rFonts w:ascii="Times New Roman" w:eastAsia="Times New Roman" w:hAnsi="Times New Roman"/>
                      <w:color w:val="000000"/>
                      <w:sz w:val="20"/>
                      <w:szCs w:val="20"/>
                      <w:lang w:eastAsia="ru-RU" w:bidi="ru-RU"/>
                    </w:rPr>
                    <w:t xml:space="preserve">в отношении которых осуществлялось </w:t>
                  </w:r>
                  <w:r w:rsidRPr="00030C1B">
                    <w:rPr>
                      <w:rFonts w:ascii="Times New Roman" w:eastAsia="Times New Roman" w:hAnsi="Times New Roman"/>
                      <w:color w:val="000000"/>
                      <w:sz w:val="20"/>
                      <w:szCs w:val="20"/>
                      <w:lang w:eastAsia="ru-RU" w:bidi="ru-RU"/>
                    </w:rPr>
                    <w:t>содержание</w:t>
                  </w:r>
                  <w:r w:rsidR="00FB7F9D">
                    <w:rPr>
                      <w:rFonts w:ascii="Times New Roman" w:eastAsia="Times New Roman" w:hAnsi="Times New Roman"/>
                      <w:color w:val="000000"/>
                      <w:sz w:val="20"/>
                      <w:szCs w:val="20"/>
                      <w:lang w:eastAsia="ru-RU" w:bidi="ru-RU"/>
                    </w:rPr>
                    <w:t xml:space="preserve"> и ремонт </w:t>
                  </w:r>
                  <w:r w:rsidRPr="00030C1B">
                    <w:rPr>
                      <w:rFonts w:ascii="Times New Roman" w:eastAsia="Times New Roman" w:hAnsi="Times New Roman"/>
                      <w:color w:val="000000"/>
                      <w:sz w:val="20"/>
                      <w:szCs w:val="20"/>
                      <w:lang w:eastAsia="ru-RU" w:bidi="ru-RU"/>
                    </w:rP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246023">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w:t>
                  </w:r>
                  <w:r w:rsidR="00246023">
                    <w:rPr>
                      <w:rFonts w:ascii="Times New Roman" w:eastAsia="Times New Roman" w:hAnsi="Times New Roman"/>
                      <w:color w:val="000000"/>
                      <w:sz w:val="20"/>
                      <w:szCs w:val="20"/>
                      <w:lang w:eastAsia="ru-RU" w:bidi="ru-RU"/>
                    </w:rPr>
                    <w:t>их</w:t>
                  </w:r>
                  <w:r w:rsidRPr="00030C1B">
                    <w:rPr>
                      <w:rFonts w:ascii="Times New Roman" w:eastAsia="Times New Roman" w:hAnsi="Times New Roman"/>
                      <w:color w:val="000000"/>
                      <w:sz w:val="20"/>
                      <w:szCs w:val="20"/>
                      <w:lang w:eastAsia="ru-RU" w:bidi="ru-RU"/>
                    </w:rPr>
                    <w:t xml:space="preserve"> конкурс</w:t>
                  </w:r>
                  <w:r w:rsidR="00246023">
                    <w:rPr>
                      <w:rFonts w:ascii="Times New Roman" w:eastAsia="Times New Roman" w:hAnsi="Times New Roman"/>
                      <w:color w:val="000000"/>
                      <w:sz w:val="20"/>
                      <w:szCs w:val="20"/>
                      <w:lang w:eastAsia="ru-RU" w:bidi="ru-RU"/>
                    </w:rPr>
                    <w:t>ов</w:t>
                  </w:r>
                  <w:r w:rsidRPr="00030C1B">
                    <w:rPr>
                      <w:rFonts w:ascii="Times New Roman" w:eastAsia="Times New Roman" w:hAnsi="Times New Roman"/>
                      <w:color w:val="000000"/>
                      <w:sz w:val="20"/>
                      <w:szCs w:val="20"/>
                      <w:lang w:eastAsia="ru-RU" w:bidi="ru-RU"/>
                    </w:rPr>
                    <w:t xml:space="preserve"> "Лучший Архангельский дворик"</w:t>
                  </w:r>
                  <w:r w:rsidR="00246023">
                    <w:rPr>
                      <w:rFonts w:ascii="Times New Roman" w:eastAsia="Times New Roman" w:hAnsi="Times New Roman"/>
                      <w:color w:val="000000"/>
                      <w:sz w:val="20"/>
                      <w:szCs w:val="20"/>
                      <w:lang w:eastAsia="ru-RU" w:bidi="ru-RU"/>
                    </w:rPr>
                    <w:t xml:space="preserve"> и </w:t>
                  </w:r>
                  <w:r w:rsidR="00246023" w:rsidRPr="00030C1B">
                    <w:rPr>
                      <w:rFonts w:ascii="Times New Roman" w:eastAsia="Times New Roman" w:hAnsi="Times New Roman"/>
                      <w:color w:val="000000"/>
                      <w:sz w:val="20"/>
                      <w:szCs w:val="20"/>
                      <w:lang w:eastAsia="ru-RU" w:bidi="ru-RU"/>
                    </w:rPr>
                    <w:t>"</w:t>
                  </w:r>
                  <w:r w:rsidR="00246023">
                    <w:rPr>
                      <w:rFonts w:ascii="Times New Roman" w:eastAsia="Times New Roman" w:hAnsi="Times New Roman"/>
                      <w:color w:val="000000"/>
                      <w:sz w:val="20"/>
                      <w:szCs w:val="20"/>
                      <w:lang w:eastAsia="ru-RU" w:bidi="ru-RU"/>
                    </w:rPr>
                    <w:t>Лучший новогодний дворик Архангельска</w:t>
                  </w:r>
                  <w:r w:rsidR="00246023" w:rsidRPr="00030C1B">
                    <w:rPr>
                      <w:rFonts w:ascii="Times New Roman" w:eastAsia="Times New Roman" w:hAnsi="Times New Roman"/>
                      <w:color w:val="000000"/>
                      <w:sz w:val="20"/>
                      <w:szCs w:val="20"/>
                      <w:lang w:eastAsia="ru-RU" w:bidi="ru-RU"/>
                    </w:rPr>
                    <w:t>"</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24602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230A8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398 000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0D0EE3" w:rsidP="006303FF">
                  <w:pPr>
                    <w:widowControl w:val="0"/>
                    <w:autoSpaceDE w:val="0"/>
                    <w:autoSpaceDN w:val="0"/>
                    <w:spacing w:after="0" w:line="240" w:lineRule="auto"/>
                    <w:jc w:val="center"/>
                    <w:rPr>
                      <w:rFonts w:ascii="Times New Roman" w:hAnsi="Times New Roman"/>
                      <w:color w:val="0070C0"/>
                      <w:sz w:val="20"/>
                      <w:szCs w:val="20"/>
                      <w:lang w:bidi="ru-RU"/>
                    </w:rPr>
                  </w:pPr>
                  <w:r w:rsidRPr="000D0EE3">
                    <w:rPr>
                      <w:rFonts w:ascii="Times New Roman" w:hAnsi="Times New Roman"/>
                      <w:color w:val="0070C0"/>
                      <w:sz w:val="20"/>
                      <w:szCs w:val="20"/>
                      <w:lang w:bidi="ru-RU"/>
                    </w:rPr>
                    <w:t>-</w:t>
                  </w:r>
                </w:p>
              </w:tc>
              <w:tc>
                <w:tcPr>
                  <w:tcW w:w="992" w:type="dxa"/>
                  <w:vAlign w:val="center"/>
                </w:tcPr>
                <w:p w:rsidR="006303FF" w:rsidRPr="000D0EE3" w:rsidRDefault="000D0EE3" w:rsidP="006303FF">
                  <w:pPr>
                    <w:widowControl w:val="0"/>
                    <w:autoSpaceDE w:val="0"/>
                    <w:autoSpaceDN w:val="0"/>
                    <w:spacing w:after="0" w:line="240" w:lineRule="auto"/>
                    <w:jc w:val="center"/>
                    <w:rPr>
                      <w:rFonts w:ascii="Times New Roman" w:hAnsi="Times New Roman"/>
                      <w:color w:val="0070C0"/>
                      <w:sz w:val="20"/>
                      <w:szCs w:val="20"/>
                      <w:lang w:bidi="ru-RU"/>
                    </w:rPr>
                  </w:pPr>
                  <w:r w:rsidRPr="000D0EE3">
                    <w:rPr>
                      <w:rFonts w:ascii="Times New Roman" w:hAnsi="Times New Roman"/>
                      <w:color w:val="0070C0"/>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052E89"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418,43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7399F" w:rsidP="00390114">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3</w:t>
                        </w:r>
                        <w:r w:rsidR="00030C1B" w:rsidRPr="00030C1B">
                          <w:rPr>
                            <w:rFonts w:ascii="Times New Roman" w:hAnsi="Times New Roman"/>
                            <w:sz w:val="20"/>
                            <w:szCs w:val="20"/>
                          </w:rPr>
                          <w:t> </w:t>
                        </w:r>
                        <w:r>
                          <w:rPr>
                            <w:rFonts w:ascii="Times New Roman" w:hAnsi="Times New Roman"/>
                            <w:sz w:val="20"/>
                            <w:szCs w:val="20"/>
                          </w:rPr>
                          <w:t>3</w:t>
                        </w:r>
                        <w:r w:rsidR="00390114">
                          <w:rPr>
                            <w:rFonts w:ascii="Times New Roman" w:hAnsi="Times New Roman"/>
                            <w:sz w:val="20"/>
                            <w:szCs w:val="20"/>
                          </w:rPr>
                          <w:t>70</w:t>
                        </w:r>
                        <w:r w:rsidR="00030C1B" w:rsidRPr="00030C1B">
                          <w:rPr>
                            <w:rFonts w:ascii="Times New Roman" w:hAnsi="Times New Roman"/>
                            <w:sz w:val="20"/>
                            <w:szCs w:val="20"/>
                          </w:rPr>
                          <w:t> </w:t>
                        </w:r>
                        <w:r w:rsidR="00390114">
                          <w:rPr>
                            <w:rFonts w:ascii="Times New Roman" w:hAnsi="Times New Roman"/>
                            <w:sz w:val="20"/>
                            <w:szCs w:val="20"/>
                          </w:rPr>
                          <w:t>159</w:t>
                        </w:r>
                        <w:r w:rsidR="00030C1B" w:rsidRPr="00030C1B">
                          <w:rPr>
                            <w:rFonts w:ascii="Times New Roman" w:hAnsi="Times New Roman"/>
                            <w:sz w:val="20"/>
                            <w:szCs w:val="20"/>
                          </w:rPr>
                          <w:t>,</w:t>
                        </w:r>
                        <w:r w:rsidR="0039011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5224DA">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957</w:t>
                        </w:r>
                        <w:r w:rsidR="00030C1B" w:rsidRPr="00030C1B">
                          <w:rPr>
                            <w:rFonts w:ascii="Times New Roman" w:hAnsi="Times New Roman"/>
                            <w:sz w:val="20"/>
                            <w:szCs w:val="20"/>
                          </w:rPr>
                          <w:t> </w:t>
                        </w:r>
                        <w:r>
                          <w:rPr>
                            <w:rFonts w:ascii="Times New Roman" w:hAnsi="Times New Roman"/>
                            <w:sz w:val="20"/>
                            <w:szCs w:val="20"/>
                          </w:rPr>
                          <w:t>023</w:t>
                        </w:r>
                        <w:r w:rsidR="00030C1B" w:rsidRPr="00030C1B">
                          <w:rPr>
                            <w:rFonts w:ascii="Times New Roman" w:hAnsi="Times New Roman"/>
                            <w:sz w:val="20"/>
                            <w:szCs w:val="20"/>
                          </w:rPr>
                          <w:t>,</w:t>
                        </w:r>
                        <w:r w:rsidR="005224DA">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D805F2">
                          <w:rPr>
                            <w:rFonts w:ascii="Times New Roman" w:hAnsi="Times New Roman"/>
                            <w:sz w:val="20"/>
                            <w:szCs w:val="20"/>
                          </w:rPr>
                          <w:t>6</w:t>
                        </w:r>
                        <w:r w:rsidRPr="00030C1B">
                          <w:rPr>
                            <w:rFonts w:ascii="Times New Roman" w:hAnsi="Times New Roman"/>
                            <w:sz w:val="20"/>
                            <w:szCs w:val="20"/>
                          </w:rPr>
                          <w:t> </w:t>
                        </w:r>
                        <w:r w:rsidR="00D805F2">
                          <w:rPr>
                            <w:rFonts w:ascii="Times New Roman" w:hAnsi="Times New Roman"/>
                            <w:sz w:val="20"/>
                            <w:szCs w:val="20"/>
                          </w:rPr>
                          <w:t>590</w:t>
                        </w:r>
                        <w:r w:rsidRPr="00030C1B">
                          <w:rPr>
                            <w:rFonts w:ascii="Times New Roman" w:hAnsi="Times New Roman"/>
                            <w:sz w:val="20"/>
                            <w:szCs w:val="20"/>
                          </w:rPr>
                          <w:t>,</w:t>
                        </w:r>
                        <w:r w:rsidR="005224DA">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D805F2">
                        <w:pPr>
                          <w:spacing w:after="0" w:line="240" w:lineRule="auto"/>
                          <w:jc w:val="center"/>
                        </w:pPr>
                        <w:r w:rsidRPr="00030C1B">
                          <w:rPr>
                            <w:rFonts w:ascii="Times New Roman" w:hAnsi="Times New Roman"/>
                            <w:sz w:val="20"/>
                            <w:szCs w:val="20"/>
                          </w:rPr>
                          <w:t>1 </w:t>
                        </w:r>
                        <w:r w:rsidR="00D805F2">
                          <w:rPr>
                            <w:rFonts w:ascii="Times New Roman" w:hAnsi="Times New Roman"/>
                            <w:sz w:val="20"/>
                            <w:szCs w:val="20"/>
                          </w:rPr>
                          <w:t>937</w:t>
                        </w:r>
                        <w:r w:rsidRPr="00030C1B">
                          <w:rPr>
                            <w:rFonts w:ascii="Times New Roman" w:hAnsi="Times New Roman"/>
                            <w:sz w:val="20"/>
                            <w:szCs w:val="20"/>
                          </w:rPr>
                          <w:t> </w:t>
                        </w:r>
                        <w:r w:rsidR="0010151D">
                          <w:rPr>
                            <w:rFonts w:ascii="Times New Roman" w:hAnsi="Times New Roman"/>
                            <w:sz w:val="20"/>
                            <w:szCs w:val="20"/>
                          </w:rPr>
                          <w:t>8</w:t>
                        </w:r>
                        <w:r w:rsidR="00D805F2">
                          <w:rPr>
                            <w:rFonts w:ascii="Times New Roman" w:hAnsi="Times New Roman"/>
                            <w:sz w:val="20"/>
                            <w:szCs w:val="20"/>
                          </w:rPr>
                          <w:t>43</w:t>
                        </w:r>
                        <w:r w:rsidRPr="00030C1B">
                          <w:rPr>
                            <w:rFonts w:ascii="Times New Roman" w:hAnsi="Times New Roman"/>
                            <w:sz w:val="20"/>
                            <w:szCs w:val="20"/>
                          </w:rPr>
                          <w:t>,</w:t>
                        </w:r>
                        <w:r w:rsidR="00D805F2">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844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1 3</w:t>
                        </w:r>
                        <w:r w:rsidR="00390114">
                          <w:rPr>
                            <w:rFonts w:ascii="Times New Roman" w:hAnsi="Times New Roman"/>
                            <w:sz w:val="20"/>
                            <w:szCs w:val="20"/>
                          </w:rPr>
                          <w:t>87</w:t>
                        </w:r>
                        <w:r w:rsidR="00030C1B" w:rsidRPr="00030C1B">
                          <w:rPr>
                            <w:rFonts w:ascii="Times New Roman" w:hAnsi="Times New Roman"/>
                            <w:sz w:val="20"/>
                            <w:szCs w:val="20"/>
                          </w:rPr>
                          <w:t> </w:t>
                        </w:r>
                        <w:r w:rsidR="00390114">
                          <w:rPr>
                            <w:rFonts w:ascii="Times New Roman" w:hAnsi="Times New Roman"/>
                            <w:sz w:val="20"/>
                            <w:szCs w:val="20"/>
                          </w:rPr>
                          <w:t>563</w:t>
                        </w:r>
                        <w:r w:rsidR="00030C1B" w:rsidRPr="00030C1B">
                          <w:rPr>
                            <w:rFonts w:ascii="Times New Roman" w:hAnsi="Times New Roman"/>
                            <w:sz w:val="20"/>
                            <w:szCs w:val="20"/>
                          </w:rPr>
                          <w:t>,</w:t>
                        </w:r>
                        <w:r w:rsidR="00390114">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D805F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00030C1B" w:rsidRPr="00030C1B">
                          <w:rPr>
                            <w:rFonts w:ascii="Times New Roman" w:hAnsi="Times New Roman"/>
                            <w:sz w:val="20"/>
                            <w:szCs w:val="20"/>
                          </w:rPr>
                          <w:t>9 </w:t>
                        </w:r>
                        <w:r>
                          <w:rPr>
                            <w:rFonts w:ascii="Times New Roman" w:hAnsi="Times New Roman"/>
                            <w:sz w:val="20"/>
                            <w:szCs w:val="20"/>
                          </w:rPr>
                          <w:t>427</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B7399F">
                          <w:rPr>
                            <w:rFonts w:ascii="Times New Roman" w:eastAsia="Times New Roman" w:hAnsi="Times New Roman"/>
                            <w:sz w:val="20"/>
                            <w:szCs w:val="20"/>
                            <w:lang w:eastAsia="ru-RU" w:bidi="ru-RU"/>
                          </w:rPr>
                          <w:t>8</w:t>
                        </w:r>
                        <w:r w:rsidR="00390114">
                          <w:rPr>
                            <w:rFonts w:ascii="Times New Roman" w:eastAsia="Times New Roman" w:hAnsi="Times New Roman"/>
                            <w:sz w:val="20"/>
                            <w:szCs w:val="20"/>
                            <w:lang w:eastAsia="ru-RU" w:bidi="ru-RU"/>
                          </w:rPr>
                          <w:t>63</w:t>
                        </w:r>
                        <w:r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477</w:t>
                        </w:r>
                        <w:r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908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574</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982</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w:t>
                        </w:r>
                        <w:r w:rsidRPr="00030C1B">
                          <w:rPr>
                            <w:rFonts w:ascii="Times New Roman" w:eastAsia="Times New Roman" w:hAnsi="Times New Roman"/>
                            <w:sz w:val="20"/>
                            <w:szCs w:val="20"/>
                            <w:lang w:eastAsia="ru-RU" w:bidi="ru-RU"/>
                          </w:rPr>
                          <w:lastRenderedPageBreak/>
                          <w:t xml:space="preserve">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D0F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89</w:t>
                        </w:r>
                        <w:r w:rsidR="00030C1B"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64</w:t>
                        </w:r>
                        <w:r w:rsidR="00953677">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D0F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092</w:t>
                        </w:r>
                        <w:r w:rsidR="00030C1B"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9709A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w:t>
                        </w:r>
                        <w:r w:rsidRPr="00030C1B">
                          <w:rPr>
                            <w:rFonts w:ascii="Times New Roman" w:eastAsia="Times New Roman" w:hAnsi="Times New Roman"/>
                            <w:sz w:val="20"/>
                            <w:szCs w:val="20"/>
                            <w:lang w:eastAsia="ru-RU" w:bidi="ru-RU"/>
                          </w:rPr>
                          <w:lastRenderedPageBreak/>
                          <w:t>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Администрация города Архангельска/отдел учета и </w:t>
                        </w:r>
                        <w:r w:rsidRPr="00030C1B">
                          <w:rPr>
                            <w:rFonts w:ascii="Times New Roman" w:eastAsia="Times New Roman" w:hAnsi="Times New Roman"/>
                            <w:sz w:val="20"/>
                            <w:szCs w:val="20"/>
                            <w:lang w:eastAsia="ru-RU" w:bidi="ru-RU"/>
                          </w:rPr>
                          <w:lastRenderedPageBreak/>
                          <w:t>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73</w:t>
                        </w:r>
                        <w:r w:rsidR="00030C1B" w:rsidRPr="00030C1B">
                          <w:rPr>
                            <w:rFonts w:ascii="Times New Roman" w:hAnsi="Times New Roman"/>
                            <w:sz w:val="20"/>
                            <w:szCs w:val="20"/>
                            <w:lang w:bidi="ru-RU"/>
                          </w:rPr>
                          <w:t> </w:t>
                        </w:r>
                        <w:r>
                          <w:rPr>
                            <w:rFonts w:ascii="Times New Roman" w:hAnsi="Times New Roman"/>
                            <w:sz w:val="20"/>
                            <w:szCs w:val="20"/>
                            <w:lang w:bidi="ru-RU"/>
                          </w:rPr>
                          <w:t>965</w:t>
                        </w:r>
                        <w:r w:rsidR="00030C1B"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w:t>
                        </w:r>
                        <w:r w:rsidR="00482088">
                          <w:rPr>
                            <w:rFonts w:ascii="Times New Roman" w:hAnsi="Times New Roman"/>
                            <w:sz w:val="20"/>
                            <w:szCs w:val="20"/>
                            <w:lang w:bidi="ru-RU"/>
                          </w:rPr>
                          <w:t>51</w:t>
                        </w:r>
                        <w:r w:rsidRPr="00030C1B">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Pr>
                            <w:rFonts w:ascii="Times New Roman" w:hAnsi="Times New Roman"/>
                            <w:sz w:val="20"/>
                            <w:szCs w:val="20"/>
                            <w:lang w:bidi="ru-RU"/>
                          </w:rPr>
                          <w:t>731</w:t>
                        </w:r>
                        <w:r w:rsidR="00030C1B" w:rsidRPr="00030C1B">
                          <w:rPr>
                            <w:rFonts w:ascii="Times New Roman" w:hAnsi="Times New Roman"/>
                            <w:sz w:val="20"/>
                            <w:szCs w:val="20"/>
                            <w:lang w:bidi="ru-RU"/>
                          </w:rPr>
                          <w:t>,</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w:t>
                        </w:r>
                        <w:r w:rsidR="00482088">
                          <w:rPr>
                            <w:rFonts w:ascii="Times New Roman" w:hAnsi="Times New Roman"/>
                            <w:sz w:val="20"/>
                            <w:szCs w:val="20"/>
                            <w:lang w:bidi="ru-RU"/>
                          </w:rPr>
                          <w:t>17</w:t>
                        </w:r>
                        <w:r w:rsidRPr="00030C1B">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13 233,8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482088">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9E76F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Маймаксанского </w:t>
                        </w:r>
                        <w:r w:rsidRPr="00030C1B">
                          <w:rPr>
                            <w:rFonts w:ascii="Times New Roman" w:eastAsia="Times New Roman" w:hAnsi="Times New Roman"/>
                            <w:sz w:val="20"/>
                            <w:szCs w:val="20"/>
                            <w:lang w:eastAsia="ru-RU" w:bidi="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253</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030C1B"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Внебюджетные </w:t>
                        </w:r>
                        <w:r w:rsidRPr="00030C1B">
                          <w:rPr>
                            <w:rFonts w:ascii="Times New Roman" w:eastAsia="Times New Roman" w:hAnsi="Times New Roman"/>
                            <w:sz w:val="20"/>
                            <w:szCs w:val="20"/>
                            <w:lang w:eastAsia="ru-RU" w:bidi="ru-RU"/>
                          </w:rPr>
                          <w:lastRenderedPageBreak/>
                          <w:t>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lastRenderedPageBreak/>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76039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w:t>
                        </w:r>
                        <w:r w:rsidR="00760392">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jc w:val="center"/>
                        </w:pP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50</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354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w:t>
                        </w:r>
                        <w:r w:rsidRPr="00030C1B">
                          <w:rPr>
                            <w:rFonts w:ascii="Times New Roman" w:hAnsi="Times New Roman"/>
                            <w:sz w:val="20"/>
                            <w:szCs w:val="20"/>
                          </w:rPr>
                          <w:lastRenderedPageBreak/>
                          <w:t xml:space="preserve">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76039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00A47E82"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26. Строительство детского </w:t>
                        </w:r>
                        <w:r w:rsidRPr="00030C1B">
                          <w:rPr>
                            <w:rFonts w:ascii="Times New Roman" w:hAnsi="Times New Roman"/>
                            <w:sz w:val="20"/>
                            <w:szCs w:val="20"/>
                          </w:rPr>
                          <w:lastRenderedPageBreak/>
                          <w:t>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w:t>
                        </w:r>
                        <w:r w:rsidRPr="00030C1B">
                          <w:rPr>
                            <w:rFonts w:ascii="Times New Roman" w:eastAsia="Times New Roman" w:hAnsi="Times New Roman"/>
                            <w:sz w:val="20"/>
                            <w:szCs w:val="20"/>
                            <w:lang w:eastAsia="ru-RU" w:bidi="ru-RU"/>
                          </w:rPr>
                          <w:lastRenderedPageBreak/>
                          <w:t>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76DDE"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076DDE"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д. 43, к. 1 – д. Черная Курья, д. 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1 линия, д. 1, стр. 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89" w:rsidRDefault="00052E89">
      <w:pPr>
        <w:spacing w:after="0" w:line="240" w:lineRule="auto"/>
      </w:pPr>
      <w:r>
        <w:separator/>
      </w:r>
    </w:p>
  </w:endnote>
  <w:endnote w:type="continuationSeparator" w:id="0">
    <w:p w:rsidR="00052E89" w:rsidRDefault="0005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89" w:rsidRDefault="00052E89">
      <w:pPr>
        <w:spacing w:after="0" w:line="240" w:lineRule="auto"/>
      </w:pPr>
      <w:r>
        <w:separator/>
      </w:r>
    </w:p>
  </w:footnote>
  <w:footnote w:type="continuationSeparator" w:id="0">
    <w:p w:rsidR="00052E89" w:rsidRDefault="00052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758FB" w:rsidRDefault="00F758F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84CF1">
          <w:rPr>
            <w:rFonts w:ascii="Times New Roman" w:hAnsi="Times New Roman" w:cs="Times New Roman"/>
            <w:noProof/>
            <w:sz w:val="28"/>
            <w:szCs w:val="28"/>
          </w:rPr>
          <w:t>46</w:t>
        </w:r>
        <w:r w:rsidRPr="007642D9">
          <w:rPr>
            <w:rFonts w:ascii="Times New Roman" w:hAnsi="Times New Roman" w:cs="Times New Roman"/>
            <w:sz w:val="28"/>
            <w:szCs w:val="28"/>
          </w:rPr>
          <w:fldChar w:fldCharType="end"/>
        </w:r>
      </w:p>
    </w:sdtContent>
  </w:sdt>
  <w:p w:rsidR="00F758FB" w:rsidRDefault="00F758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0A8B"/>
    <w:rsid w:val="00231183"/>
    <w:rsid w:val="002357D9"/>
    <w:rsid w:val="00237071"/>
    <w:rsid w:val="00240615"/>
    <w:rsid w:val="002431C9"/>
    <w:rsid w:val="00243AC5"/>
    <w:rsid w:val="00244118"/>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1B38"/>
    <w:rsid w:val="004E23DE"/>
    <w:rsid w:val="004E26F8"/>
    <w:rsid w:val="004E3EB9"/>
    <w:rsid w:val="004E53B0"/>
    <w:rsid w:val="004E65FD"/>
    <w:rsid w:val="004E76A5"/>
    <w:rsid w:val="004E7B75"/>
    <w:rsid w:val="004F1D0A"/>
    <w:rsid w:val="004F1FDC"/>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45F4"/>
    <w:rsid w:val="0075465A"/>
    <w:rsid w:val="00760392"/>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21B8"/>
    <w:rsid w:val="008A2570"/>
    <w:rsid w:val="008A37B6"/>
    <w:rsid w:val="008A3857"/>
    <w:rsid w:val="008A3EAB"/>
    <w:rsid w:val="008A63DA"/>
    <w:rsid w:val="008B3EB3"/>
    <w:rsid w:val="008B4E7A"/>
    <w:rsid w:val="008C03EC"/>
    <w:rsid w:val="008C041D"/>
    <w:rsid w:val="008C17A5"/>
    <w:rsid w:val="008C180E"/>
    <w:rsid w:val="008C2CAA"/>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43D0"/>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5B4B"/>
    <w:rsid w:val="00E45EA7"/>
    <w:rsid w:val="00E4675D"/>
    <w:rsid w:val="00E51BDF"/>
    <w:rsid w:val="00E534F5"/>
    <w:rsid w:val="00E54531"/>
    <w:rsid w:val="00E567E7"/>
    <w:rsid w:val="00E571FF"/>
    <w:rsid w:val="00E62598"/>
    <w:rsid w:val="00E628EB"/>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09BD-9BB6-4496-978B-B0CDBEE1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70</Pages>
  <Words>21907</Words>
  <Characters>124873</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10</cp:revision>
  <cp:lastPrinted>2022-01-19T08:47:00Z</cp:lastPrinted>
  <dcterms:created xsi:type="dcterms:W3CDTF">2024-02-02T13:23:00Z</dcterms:created>
  <dcterms:modified xsi:type="dcterms:W3CDTF">2024-02-05T06:01:00Z</dcterms:modified>
</cp:coreProperties>
</file>